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865" w:rsidRDefault="00FB4865" w:rsidP="00FB4865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Wzór karty weryfikacji zgodności operacji z warunkami przyznania pomocy określonymi w Programie Operacyjnym Rybactwo i Morze na lata 2014-2020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8320"/>
      </w:tblGrid>
      <w:tr w:rsidR="00FB4865" w:rsidTr="00FB4865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B4865" w:rsidRDefault="00FB48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wniosku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B4865" w:rsidRDefault="00FB48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4865" w:rsidTr="00FB4865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Nazwa</w:t>
            </w:r>
          </w:p>
          <w:p w:rsidR="00FB4865" w:rsidRDefault="00FB48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Wnioskodawcy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4865" w:rsidTr="00FB4865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B4865" w:rsidRDefault="00FB48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Tytuł operacji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B4865" w:rsidRDefault="00FB4865" w:rsidP="00FB4865">
      <w:pPr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W w:w="5309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FB4865" w:rsidTr="00FB4865">
        <w:trPr>
          <w:trHeight w:val="9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865" w:rsidRDefault="00FB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pl-PL"/>
              </w:rPr>
              <w:t>WERYFIKACJA ZGODNOŚCI OPERACJI Z WARUNKAMI PRZYZNANIA POMOCY OKREŚLONYMI W PROGRAMIE OPERACYJNYM RYBACTWO I MORZE NA LATA 2014-2020</w:t>
            </w:r>
          </w:p>
        </w:tc>
      </w:tr>
      <w:tr w:rsidR="00FB4865" w:rsidTr="00FB4865">
        <w:trPr>
          <w:trHeight w:val="14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 xml:space="preserve">Weryfikacja dokonywana na podstawie informacji zawartych w złożonym wniosku o przyznanie pomocy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br/>
              <w:t xml:space="preserve">i złożonych wraz z nim dokumentach, a także w oparciu o informacje pochodzące z baz administrowanych przez podmioty administracji publicznej, tj. Centralna Ewidencja i Informacja o Działalności Gospodarczej, Krajowy Rejestr Sądowy, rejestr Ksiąg Wieczystych oraz udostępnione przez Samorząd Województwa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br/>
              <w:t>(LGD nie ma obowiązku występowania z prośbą o udostępnienie danych do innych podmiotów).</w:t>
            </w:r>
          </w:p>
        </w:tc>
      </w:tr>
      <w:tr w:rsidR="00FB4865" w:rsidTr="00FB4865">
        <w:trPr>
          <w:trHeight w:val="585"/>
        </w:trPr>
        <w:tc>
          <w:tcPr>
            <w:tcW w:w="5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>Kartę wypełnia się przy zastosowaniu ogólnej wskazówki dotyczącej odpowiedzi TAK, NIE, ND.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pl-PL"/>
              </w:rPr>
              <w:t>TAK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 xml:space="preserve"> – możliwe jest udzielenie jednoznacznej pozytywnej odpowiedzi na pytanie,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pl-PL"/>
              </w:rPr>
              <w:t>NIE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 xml:space="preserve"> – możliwe jest udzielenie jednoznacznej negatywnej odpowiedzi lub na podstawie dostępnych informacji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br/>
              <w:t>i dokumentów nie można potwierdzić spełniania danego kryterium,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pl-PL"/>
              </w:rPr>
              <w:t>ND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 xml:space="preserve"> – weryfikowany punkt karty nie dotyczy danego Wnioskodawcy.</w:t>
            </w:r>
          </w:p>
        </w:tc>
      </w:tr>
      <w:tr w:rsidR="00FB4865" w:rsidTr="00FB4865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865" w:rsidRDefault="00FB486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FB4865" w:rsidTr="00FB4865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865" w:rsidRDefault="00FB486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</w:tbl>
    <w:p w:rsidR="00FB4865" w:rsidRDefault="00FB4865" w:rsidP="00FB4865">
      <w:pPr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W w:w="5309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6806"/>
        <w:gridCol w:w="792"/>
        <w:gridCol w:w="806"/>
        <w:gridCol w:w="808"/>
      </w:tblGrid>
      <w:tr w:rsidR="00FB4865" w:rsidTr="00FB4865">
        <w:trPr>
          <w:trHeight w:val="4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                    Weryfikujący</w:t>
            </w:r>
          </w:p>
        </w:tc>
      </w:tr>
      <w:tr w:rsidR="00FB4865" w:rsidTr="00722CF5">
        <w:trPr>
          <w:trHeight w:val="420"/>
        </w:trPr>
        <w:tc>
          <w:tcPr>
            <w:tcW w:w="3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865" w:rsidRDefault="00FB4865">
            <w:pPr>
              <w:spacing w:after="0" w:line="240" w:lineRule="auto"/>
              <w:ind w:right="-7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865" w:rsidRDefault="00FB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865" w:rsidRDefault="00FB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ND</w:t>
            </w:r>
          </w:p>
        </w:tc>
      </w:tr>
      <w:tr w:rsidR="00FB4865" w:rsidTr="00722CF5">
        <w:trPr>
          <w:trHeight w:val="84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3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Czy operacja jest zgodna z celem: Podnoszenie wartości produktów, tworzenie miejsc pracy, zachęcanie młodych ludzi i propagowanie innowacji na wszystkich etapach łańcucha dostaw produktów w sektorze rybołówstwa i akwakultury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B4865" w:rsidTr="00722CF5">
        <w:trPr>
          <w:trHeight w:val="34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7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Czy operacja obejmuje:</w:t>
            </w:r>
          </w:p>
        </w:tc>
      </w:tr>
      <w:tr w:rsidR="00FB4865" w:rsidTr="00722CF5">
        <w:trPr>
          <w:trHeight w:val="91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a)</w:t>
            </w:r>
          </w:p>
        </w:tc>
        <w:tc>
          <w:tcPr>
            <w:tcW w:w="3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Podnoszenie wartości produktów sektora rybołówstwa i akwakultury przez tworzenie lub rozwijanie łańcucha dostaw, obejmującego działalność związaną z produkcją, przetwarzaniem i obrotem produktami sektora rybołówstwa i akwakultury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B4865" w:rsidTr="00722CF5">
        <w:trPr>
          <w:trHeight w:val="45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b)</w:t>
            </w:r>
          </w:p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Wspieranie przedsiębiorczości lub innowacji młodych ludzi w łańcuchu dostaw, o którym mowa w lit. a)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B4865" w:rsidTr="00722CF5">
        <w:trPr>
          <w:trHeight w:val="33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7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Czy operacja jest zgodna z warunkami wsparcia w zakresie:</w:t>
            </w:r>
          </w:p>
        </w:tc>
      </w:tr>
      <w:tr w:rsidR="00FB4865" w:rsidTr="00722CF5">
        <w:trPr>
          <w:trHeight w:val="1002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a)</w:t>
            </w:r>
          </w:p>
        </w:tc>
        <w:tc>
          <w:tcPr>
            <w:tcW w:w="3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Wnioskodawcą jest osoba/podmiot, o którym mowa w art. 11 pkt 1 ustawy z dnia 10 lipca 2015 r. o wspieraniu zrównoważonego rozwoju sektora rybackiego z udziałem Europejskiego Funduszu Morskiego i Rybackiego, zwane dalej "ustawą o EFMR", w przypadku operacji o których mowa w pkt I.1 lit a)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B4865" w:rsidTr="00722CF5">
        <w:trPr>
          <w:trHeight w:val="52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b)</w:t>
            </w:r>
          </w:p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Wnioskodawca jest osobą fizyczną, która w dniu składania wniosku o dofinansowanie nie ukończyła 40. roku życia - w przypadku operacji, o której mowa w pkt I. 1 lit. b)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B4865" w:rsidTr="00722CF5">
        <w:trPr>
          <w:trHeight w:val="78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c)</w:t>
            </w:r>
          </w:p>
        </w:tc>
        <w:tc>
          <w:tcPr>
            <w:tcW w:w="3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 operacja zakłada utworzenie lub utrzymanie co najmniej jednego miejsca pracy lub podjęcie działalności gospodarczej w rozumieniu przepisów o swobodzie działalności gospodarczej, i wynika to z celu realizowanej operacji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FB4865" w:rsidTr="00722CF5">
        <w:trPr>
          <w:trHeight w:val="79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lastRenderedPageBreak/>
              <w:t>II.</w:t>
            </w:r>
          </w:p>
        </w:tc>
        <w:tc>
          <w:tcPr>
            <w:tcW w:w="3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Czy operacja jest zgodna z celem: Wspieranie różnicowania działalności w ramach rybołówstwa przemysłowego i poza nim, wspieranie uczenia się przez całe życie i tworzenie miejsc pracy na obszarach rybackich i obszarach akwakultury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B4865" w:rsidTr="00722CF5">
        <w:trPr>
          <w:trHeight w:val="39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7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Czy operacja obejmuje:</w:t>
            </w:r>
          </w:p>
        </w:tc>
      </w:tr>
      <w:tr w:rsidR="00FB4865" w:rsidTr="00722CF5">
        <w:trPr>
          <w:trHeight w:val="8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a)</w:t>
            </w:r>
          </w:p>
        </w:tc>
        <w:tc>
          <w:tcPr>
            <w:tcW w:w="3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Różnicowanie działalności lub dywersyfikację zatrudnienia osób wykonujących pracę związaną z sektorem rybołówstwa i akwakultury poprzez tworzenie lub utrzymanie miejsc pracy niezwiązanych z podstawową działalnością rybacką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B4865" w:rsidTr="00722CF5">
        <w:trPr>
          <w:trHeight w:val="64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b)</w:t>
            </w:r>
          </w:p>
        </w:tc>
        <w:tc>
          <w:tcPr>
            <w:tcW w:w="3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Podejmowanie, wykonywanie lub rozwijanie działalności gospodarczej służącej rozwojowi obszarów rybackich i obszarów akwakultury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B4865" w:rsidTr="00722CF5">
        <w:trPr>
          <w:trHeight w:val="64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c)</w:t>
            </w:r>
          </w:p>
        </w:tc>
        <w:tc>
          <w:tcPr>
            <w:tcW w:w="3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Wspieranie uczenia się osób związanych z sektorem rybołówstwa i akwakultury oraz wymianę przez takie osoby doświadczeń i dobrych praktyk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B4865" w:rsidTr="00722CF5">
        <w:trPr>
          <w:trHeight w:val="39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7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Czy operacja jest zgodna z warunkami wsparcia w zakresie:</w:t>
            </w:r>
          </w:p>
        </w:tc>
      </w:tr>
      <w:tr w:rsidR="00FB4865" w:rsidTr="00722CF5">
        <w:trPr>
          <w:trHeight w:val="81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a)</w:t>
            </w:r>
          </w:p>
        </w:tc>
        <w:tc>
          <w:tcPr>
            <w:tcW w:w="3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Wnioskodawcą jest osoba/podmiot, o którym mowa w art. 11 pkt 1 ustawy z dnia 10 lipca 2015 r. o wspieraniu zrównoważonego rozwoju sektora rybackiego z udziałem Europejskiego Funduszu Morskiego i Rybackiego, zwane dalej "ustawą o EFMR"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FB4865" w:rsidTr="00722CF5">
        <w:trPr>
          <w:trHeight w:val="84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b)</w:t>
            </w:r>
          </w:p>
        </w:tc>
        <w:tc>
          <w:tcPr>
            <w:tcW w:w="3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 operacja zakłada utworzenie lub utrzymanie co najmniej jednego miejsca pracy lub podjęcie działalności gospodarczej w rozumieniu przepisów o swobodzie działalności gospodarczej, i wynika to z celu realizowanej operacji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FB4865" w:rsidTr="00722CF5">
        <w:trPr>
          <w:trHeight w:val="85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III.</w:t>
            </w:r>
          </w:p>
        </w:tc>
        <w:tc>
          <w:tcPr>
            <w:tcW w:w="3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Czy operacja jest zgodna z celem: Wspieranie i wykorzystywanie atutów środowiska na obszarach rybackich i obszarach akwakultury, w tym operacje na rzecz łagodzenia zmiany klimatu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B4865" w:rsidTr="00722CF5">
        <w:trPr>
          <w:trHeight w:val="34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7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Czy operacja obejmuje:</w:t>
            </w:r>
          </w:p>
        </w:tc>
      </w:tr>
      <w:tr w:rsidR="00FB4865" w:rsidTr="00722CF5">
        <w:trPr>
          <w:trHeight w:val="55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a)</w:t>
            </w:r>
          </w:p>
        </w:tc>
        <w:tc>
          <w:tcPr>
            <w:tcW w:w="3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Wspieranie atutów środowiska wodnego na obszarach rybackich i obszarach akwakultury przez przeciwdziałanie kłusownictwu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B4865" w:rsidTr="00722CF5">
        <w:trPr>
          <w:trHeight w:val="106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b)</w:t>
            </w:r>
          </w:p>
        </w:tc>
        <w:tc>
          <w:tcPr>
            <w:tcW w:w="3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Przywracanie lub zabezpieczenie potencjału produkcyjnego sektora rybołówstwa i akwakultury lub odtwarzanie pierwotnego stanu środowiska obszarów rybackich i obszarów akwakultury, w przypadku jego zniszczenia w wyniku zdarzeń noszących znamiona klęski żywiołowej lub szkody spowodowanej działalnością chronionych gatunków zwierząt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B4865" w:rsidTr="00722CF5">
        <w:trPr>
          <w:trHeight w:val="79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c)</w:t>
            </w:r>
          </w:p>
        </w:tc>
        <w:tc>
          <w:tcPr>
            <w:tcW w:w="3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Odtwarzanie pierwotnego stanu środowiska wodnego przez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renaturyzację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zbiorników wodnych i terenów przyległych do tych zbiorników, w przypadku jego zniszczenia w wyniku procesu eutrofizacji wód publicznych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B4865" w:rsidTr="00722CF5">
        <w:trPr>
          <w:trHeight w:val="52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d)</w:t>
            </w:r>
          </w:p>
        </w:tc>
        <w:tc>
          <w:tcPr>
            <w:tcW w:w="3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Ochronę obszarów będących formami ochrony przyrody przez regulowanie ruchu turystycznego na obszarach cennych przyrodniczo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B4865" w:rsidTr="00722CF5">
        <w:trPr>
          <w:trHeight w:val="85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e)</w:t>
            </w:r>
          </w:p>
        </w:tc>
        <w:tc>
          <w:tcPr>
            <w:tcW w:w="3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Podejmowanie działań na rzecz ograniczenia negatywnych skutków zmian klimatycznych, tworzenie i rozwijanie instalacji odnawialnych źródeł energii, w rozumieniu przepisów o odnawialnych źródłach energii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B4865" w:rsidTr="00722CF5">
        <w:trPr>
          <w:trHeight w:val="37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7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Czy operacja jest zgodna z warunkami wsparcia w zakresie:</w:t>
            </w:r>
          </w:p>
        </w:tc>
      </w:tr>
      <w:tr w:rsidR="00FB4865" w:rsidTr="00722CF5">
        <w:trPr>
          <w:trHeight w:val="88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a)</w:t>
            </w:r>
          </w:p>
        </w:tc>
        <w:tc>
          <w:tcPr>
            <w:tcW w:w="3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Wnioskodawcą jest osoba/podmiot, o którym mowa w art. 11 pkt 1 ustawy z dnia 10 lipca 2015 r. o wspieraniu zrównoważonego rozwoju sektora rybackiego z udziałem Europejskiego Funduszu Morskiego i Rybackiego, zwane dalej "ustawą o EFMR"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FB4865" w:rsidTr="00722CF5">
        <w:trPr>
          <w:trHeight w:val="106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IV.</w:t>
            </w:r>
          </w:p>
        </w:tc>
        <w:tc>
          <w:tcPr>
            <w:tcW w:w="3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Czy operacja jest zgodna z celem: Propagowanie dobrostanu społecznego i dziedzictwa kulturowego na obszarach rybackich i obszarach akwakultury, w tym dziedzictwa kulturowego rybołówstwa i akwakultury oraz morskiego dziedzictwa kulturowego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B4865" w:rsidTr="00722CF5">
        <w:trPr>
          <w:trHeight w:val="31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7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Czy operacja obejmuje:</w:t>
            </w:r>
          </w:p>
        </w:tc>
      </w:tr>
      <w:tr w:rsidR="00FB4865" w:rsidTr="00722CF5">
        <w:trPr>
          <w:trHeight w:val="55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a)</w:t>
            </w:r>
          </w:p>
        </w:tc>
        <w:tc>
          <w:tcPr>
            <w:tcW w:w="3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Tworzenie, rozwój oraz wyposażenie infrastruktury turystycznej i rekreacyjnej, przeznaczonej na użytek publiczny, historycznie lub terytorialnie związanej z działalnością rybacką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B4865" w:rsidTr="00722CF5">
        <w:trPr>
          <w:trHeight w:val="61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b)</w:t>
            </w:r>
          </w:p>
        </w:tc>
        <w:tc>
          <w:tcPr>
            <w:tcW w:w="3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Promowanie, zachowanie lub upowszechnianie dziedzictwa kulturowego rybołówstwa i akwakultury oraz morskiego dziedzictwa kulturowego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B4865" w:rsidTr="00722CF5">
        <w:trPr>
          <w:trHeight w:val="40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7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Czy operacja jest zgodna z warunkami wsparcia w zakresie:</w:t>
            </w:r>
          </w:p>
        </w:tc>
      </w:tr>
      <w:tr w:rsidR="00FB4865" w:rsidTr="00722CF5">
        <w:trPr>
          <w:trHeight w:val="103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a)</w:t>
            </w:r>
          </w:p>
        </w:tc>
        <w:tc>
          <w:tcPr>
            <w:tcW w:w="3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Wnioskodawcą jest jednostka samorządu terytorialnego lub jednostka organizacyjna podległa tej jednostce lub organizacja pozarządowa w rozumieniu przepisów o działalności pożytku publicznego i wolontariacie, której celem statutowym jest działalność na rzecz rozwoju sektora rybołówstwa i akwakultury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FB4865" w:rsidTr="00722CF5">
        <w:trPr>
          <w:trHeight w:val="64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V.</w:t>
            </w:r>
          </w:p>
        </w:tc>
        <w:tc>
          <w:tcPr>
            <w:tcW w:w="3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Czy operacja jest zgodna z celem: Powierzenie społecznościom rybackim ważniejszej roli w rozwoju lokalnym oraz zarządzaniu lokalnymi zasobami rybołówstwa i działalnością morską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B4865" w:rsidTr="00722CF5">
        <w:trPr>
          <w:trHeight w:val="2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7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Czy operacja obejmuje:</w:t>
            </w:r>
          </w:p>
        </w:tc>
      </w:tr>
      <w:tr w:rsidR="00FB4865" w:rsidTr="00722CF5">
        <w:trPr>
          <w:trHeight w:val="61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a)</w:t>
            </w:r>
          </w:p>
        </w:tc>
        <w:tc>
          <w:tcPr>
            <w:tcW w:w="3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Wspieranie dialogu społecznego i udziału lokalnych społeczności w badaniu zasobów rybołówstwa i zarządzaniu tymi zasobami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FB4865" w:rsidTr="00722CF5">
        <w:trPr>
          <w:trHeight w:val="37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7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Czy operacja jest zgodna z warunkami wsparcia w zakresie:</w:t>
            </w:r>
          </w:p>
        </w:tc>
      </w:tr>
      <w:tr w:rsidR="00FB4865" w:rsidTr="00722CF5">
        <w:trPr>
          <w:trHeight w:val="1702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a)</w:t>
            </w:r>
          </w:p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Wnioskodawcą jest podmiot prawa publicznego, o którym mowa w art.. 2 pkt 16 rozporządzenia Parlamentu Europejskiego i Rady (UE) nr 1303/2013 z dnia 17 grudnia 2013 r. / instytut badawczy w rozumieniu przepisów o instytutach badawczych / uczelnia w rozumieniu przepisów prawa o szkolnictwie </w:t>
            </w:r>
          </w:p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wyższym / organizacja pozarządowa w rozumieniu przepisów o działalności pożytku publicznego i wolontariacie, której celem statutowym jest działalność na rzecz rozwoju sektora rybołówstwa i akwakultury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FB4865" w:rsidTr="00722CF5">
        <w:trPr>
          <w:trHeight w:val="5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VI. </w:t>
            </w:r>
          </w:p>
        </w:tc>
        <w:tc>
          <w:tcPr>
            <w:tcW w:w="3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Operacja obejmuje koszty inne niż wskazane w par. 11 Rozporządzenia Ministra Gospodarki Morskiej i Żeglugi Śródlądowej z dnia 6 września 2016 r.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973742" w:rsidTr="00722CF5">
        <w:trPr>
          <w:trHeight w:val="5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742" w:rsidRPr="00CC3F61" w:rsidRDefault="009737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C3F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VII. </w:t>
            </w:r>
          </w:p>
        </w:tc>
        <w:tc>
          <w:tcPr>
            <w:tcW w:w="3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742" w:rsidRPr="00CC3F61" w:rsidRDefault="009737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C3F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Czy operacja ma co najmniej neutralny wpływ na zasadę równouprawnienia mężczyzn i kobiet oraz niedyskryminację, dostępność dla osób niepełnosprawnych oraz zrównoważony rozwój.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3742" w:rsidRDefault="00973742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3742" w:rsidRDefault="00973742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973742" w:rsidRDefault="00973742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973742" w:rsidTr="00722CF5">
        <w:trPr>
          <w:trHeight w:val="5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742" w:rsidRPr="00CC3F61" w:rsidRDefault="009737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C3F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VIII.</w:t>
            </w:r>
          </w:p>
        </w:tc>
        <w:tc>
          <w:tcPr>
            <w:tcW w:w="3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742" w:rsidRPr="00CC3F61" w:rsidRDefault="009737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C3F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Czy na dzień złożenia wniosku o dofinansowanie operacja posiada zaplanowane do realizacji zadania w zestawieniu rzeczowo- finansowym, które nie zostały zakończone.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3742" w:rsidRDefault="00973742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3742" w:rsidRDefault="00973742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973742" w:rsidRDefault="00973742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FB4865" w:rsidTr="00FB4865">
        <w:trPr>
          <w:trHeight w:val="57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B4865" w:rsidRDefault="00FB4865" w:rsidP="00A2731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WYNIK WERYFIKACJI ZGODNOŚCI OPERACJI Z PROGRAMEM OPERACYJNYM </w:t>
            </w:r>
          </w:p>
          <w:p w:rsidR="00FB4865" w:rsidRDefault="00FB4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RYBACTO I MORZE NA LATA 2014-2020</w:t>
            </w:r>
          </w:p>
        </w:tc>
      </w:tr>
      <w:tr w:rsidR="00FB4865" w:rsidTr="00722CF5">
        <w:trPr>
          <w:trHeight w:val="570"/>
        </w:trPr>
        <w:tc>
          <w:tcPr>
            <w:tcW w:w="3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4865" w:rsidRDefault="00FB4865">
            <w:pPr>
              <w:pStyle w:val="Zawartotabeli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4865" w:rsidRDefault="00FB4865">
            <w:pPr>
              <w:pStyle w:val="Zawartotabeli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FB4865" w:rsidTr="00722CF5">
        <w:trPr>
          <w:trHeight w:val="5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Operacja jest zgodna z PO RYBY na lata 2014-2020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:rsidR="00FB4865" w:rsidRDefault="00FB4865" w:rsidP="00FB4865">
      <w:pPr>
        <w:pStyle w:val="Tekstpodstawowy"/>
        <w:tabs>
          <w:tab w:val="left" w:pos="0"/>
        </w:tabs>
        <w:rPr>
          <w:b/>
          <w:bCs/>
          <w:i/>
          <w:sz w:val="20"/>
        </w:rPr>
      </w:pPr>
    </w:p>
    <w:p w:rsidR="00FB4865" w:rsidRDefault="00FB4865" w:rsidP="00FB4865">
      <w:pPr>
        <w:pStyle w:val="Tekstpodstawowy"/>
        <w:tabs>
          <w:tab w:val="left" w:pos="0"/>
        </w:tabs>
        <w:rPr>
          <w:b/>
          <w:bCs/>
          <w:i/>
          <w:sz w:val="20"/>
        </w:rPr>
      </w:pPr>
      <w:r>
        <w:rPr>
          <w:b/>
          <w:bCs/>
          <w:i/>
          <w:sz w:val="20"/>
        </w:rPr>
        <w:t xml:space="preserve">Zweryfikował: </w:t>
      </w:r>
    </w:p>
    <w:p w:rsidR="00FB4865" w:rsidRDefault="00FB4865" w:rsidP="00FB4865">
      <w:pPr>
        <w:pStyle w:val="Tekstpodstawowy"/>
        <w:tabs>
          <w:tab w:val="left" w:pos="0"/>
        </w:tabs>
        <w:rPr>
          <w:b/>
          <w:bCs/>
          <w:i/>
          <w:sz w:val="20"/>
        </w:rPr>
      </w:pPr>
    </w:p>
    <w:p w:rsidR="00FB4865" w:rsidRDefault="00FB4865" w:rsidP="00FB4865">
      <w:pPr>
        <w:pStyle w:val="Tekstpodstawowy"/>
        <w:tabs>
          <w:tab w:val="left" w:pos="0"/>
        </w:tabs>
        <w:rPr>
          <w:bCs/>
          <w:i/>
          <w:sz w:val="20"/>
        </w:rPr>
      </w:pPr>
      <w:r>
        <w:rPr>
          <w:bCs/>
          <w:i/>
          <w:sz w:val="20"/>
        </w:rPr>
        <w:t>Imię i nazwisko Weryfikującego: ………………………………………………………………………………</w:t>
      </w:r>
    </w:p>
    <w:p w:rsidR="00FB4865" w:rsidRDefault="00FB4865" w:rsidP="00FB4865">
      <w:pPr>
        <w:pStyle w:val="Tekstpodstawowy"/>
        <w:tabs>
          <w:tab w:val="left" w:pos="0"/>
        </w:tabs>
        <w:rPr>
          <w:bCs/>
          <w:i/>
          <w:sz w:val="20"/>
        </w:rPr>
      </w:pPr>
    </w:p>
    <w:p w:rsidR="00FB4865" w:rsidRDefault="00FB4865" w:rsidP="00FB4865">
      <w:pPr>
        <w:pStyle w:val="Tekstpodstawowy"/>
        <w:tabs>
          <w:tab w:val="left" w:pos="0"/>
        </w:tabs>
        <w:rPr>
          <w:bCs/>
          <w:i/>
          <w:sz w:val="20"/>
        </w:rPr>
      </w:pPr>
      <w:r>
        <w:rPr>
          <w:bCs/>
          <w:i/>
          <w:sz w:val="20"/>
        </w:rPr>
        <w:t>Data i podpis ………./………../20…… r.            ……………………………………………………………..</w:t>
      </w:r>
    </w:p>
    <w:p w:rsidR="00FB4865" w:rsidRDefault="00FB4865" w:rsidP="00FB4865">
      <w:pPr>
        <w:pStyle w:val="Tekstpodstawowy"/>
        <w:tabs>
          <w:tab w:val="left" w:pos="0"/>
        </w:tabs>
        <w:rPr>
          <w:i/>
          <w:sz w:val="20"/>
        </w:rPr>
      </w:pPr>
      <w:r>
        <w:rPr>
          <w:b/>
          <w:bCs/>
          <w:i/>
          <w:sz w:val="20"/>
        </w:rPr>
        <w:t>Uwagi: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5"/>
      </w:tblGrid>
      <w:tr w:rsidR="00FB4865" w:rsidTr="00FB4865">
        <w:trPr>
          <w:trHeight w:val="799"/>
        </w:trPr>
        <w:tc>
          <w:tcPr>
            <w:tcW w:w="9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865" w:rsidRDefault="00FB4865">
            <w:pPr>
              <w:pStyle w:val="Zawartotabeli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865" w:rsidRDefault="00FB4865">
            <w:pPr>
              <w:pStyle w:val="Zawartotabeli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B4865" w:rsidRDefault="00FB4865">
            <w:pPr>
              <w:pStyle w:val="Zawartotabeli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FB4865" w:rsidRDefault="00FB4865" w:rsidP="00FB486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4865" w:rsidRPr="00814E9D" w:rsidRDefault="00FB4865" w:rsidP="00814E9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oraz podpisy </w:t>
      </w:r>
      <w:r w:rsidR="00814E9D">
        <w:rPr>
          <w:rFonts w:ascii="Times New Roman" w:hAnsi="Times New Roman" w:cs="Times New Roman"/>
          <w:sz w:val="20"/>
          <w:szCs w:val="20"/>
        </w:rPr>
        <w:t>osoby/</w:t>
      </w:r>
      <w:r>
        <w:rPr>
          <w:rFonts w:ascii="Times New Roman" w:hAnsi="Times New Roman" w:cs="Times New Roman"/>
          <w:sz w:val="20"/>
          <w:szCs w:val="20"/>
        </w:rPr>
        <w:t>osób zatwierdzających: ………………………………………………………………………...</w:t>
      </w:r>
      <w:r w:rsidR="00814E9D">
        <w:rPr>
          <w:rFonts w:ascii="Times New Roman" w:hAnsi="Times New Roman" w:cs="Times New Roman"/>
          <w:sz w:val="20"/>
          <w:szCs w:val="20"/>
        </w:rPr>
        <w:t>...........</w:t>
      </w:r>
      <w:r>
        <w:rPr>
          <w:rFonts w:ascii="Times New Roman" w:hAnsi="Times New Roman" w:cs="Times New Roman"/>
          <w:i/>
          <w:sz w:val="20"/>
          <w:szCs w:val="20"/>
        </w:rPr>
        <w:t>…………………………………………..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8755"/>
      </w:tblGrid>
      <w:tr w:rsidR="00FB4865" w:rsidTr="00FB4865">
        <w:trPr>
          <w:trHeight w:val="495"/>
        </w:trPr>
        <w:tc>
          <w:tcPr>
            <w:tcW w:w="248" w:type="pct"/>
            <w:shd w:val="clear" w:color="auto" w:fill="FFFFFF"/>
            <w:noWrap/>
            <w:hideMark/>
          </w:tcPr>
          <w:p w:rsidR="00FB4865" w:rsidRDefault="00FB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752" w:type="pct"/>
            <w:shd w:val="clear" w:color="auto" w:fill="FFFFFF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Program Operacyjny "Rybactwo i Morze" na lata 2014-2020</w:t>
            </w:r>
          </w:p>
        </w:tc>
      </w:tr>
      <w:tr w:rsidR="00FB4865" w:rsidTr="00FB4865">
        <w:trPr>
          <w:trHeight w:val="495"/>
        </w:trPr>
        <w:tc>
          <w:tcPr>
            <w:tcW w:w="248" w:type="pct"/>
            <w:shd w:val="clear" w:color="auto" w:fill="FFFFFF"/>
            <w:noWrap/>
            <w:hideMark/>
          </w:tcPr>
          <w:p w:rsidR="00FB4865" w:rsidRDefault="00FB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752" w:type="pct"/>
            <w:shd w:val="clear" w:color="auto" w:fill="FFFFFF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Ustawa o wspieraniu zrównoważonego rozwoju sektora rybackiego z udziałem Europejskiego Funduszu Morskiego i Rybackiego z dnia 10 lipca 2015 r.</w:t>
            </w:r>
          </w:p>
        </w:tc>
      </w:tr>
      <w:tr w:rsidR="00FB4865" w:rsidTr="00FB4865">
        <w:trPr>
          <w:trHeight w:val="330"/>
        </w:trPr>
        <w:tc>
          <w:tcPr>
            <w:tcW w:w="248" w:type="pct"/>
            <w:shd w:val="clear" w:color="auto" w:fill="FFFFFF"/>
            <w:noWrap/>
            <w:hideMark/>
          </w:tcPr>
          <w:p w:rsidR="00FB4865" w:rsidRDefault="00FB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752" w:type="pct"/>
            <w:shd w:val="clear" w:color="auto" w:fill="FFFFFF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Ustawa z dnia 2 lipca 2004 r. o swobodzie działalności gospodarczej (Dz.U. 2015, poz. 584 z późn.zm.)</w:t>
            </w:r>
          </w:p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</w:tr>
      <w:tr w:rsidR="00FB4865" w:rsidTr="00FB4865">
        <w:trPr>
          <w:trHeight w:val="1335"/>
        </w:trPr>
        <w:tc>
          <w:tcPr>
            <w:tcW w:w="248" w:type="pct"/>
            <w:shd w:val="clear" w:color="auto" w:fill="FFFFFF"/>
            <w:noWrap/>
            <w:hideMark/>
          </w:tcPr>
          <w:p w:rsidR="00FB4865" w:rsidRDefault="00FB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752" w:type="pct"/>
            <w:shd w:val="clear" w:color="auto" w:fill="FFFFFF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Rozporządzenie Ministra Gospodarki Morskiej i Żeglugi Śródlądowej z dnia 6 września 2016 r. w sprawie szczegółowych warunków i trybu przyznawania, wypłaty i zwrotu pomocy finansowej na realizację operacji w ramach działań wsparcie przygotowawcze i realizacja lokalnych strategii rozwoju kierowanych przez społeczność, w tym koszty bieżące i aktywizacja, objętych Priorytetem 4. Zwiększenie zatrudnienia i spójności terytorialnej, zawartym w Programie Operacyjnym "Rybactwo i Morze"</w:t>
            </w:r>
          </w:p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</w:tr>
      <w:tr w:rsidR="00FB4865" w:rsidTr="00FB4865">
        <w:trPr>
          <w:trHeight w:val="705"/>
        </w:trPr>
        <w:tc>
          <w:tcPr>
            <w:tcW w:w="248" w:type="pct"/>
            <w:shd w:val="clear" w:color="auto" w:fill="FFFFFF"/>
            <w:hideMark/>
          </w:tcPr>
          <w:p w:rsidR="00FB4865" w:rsidRDefault="00FB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752" w:type="pct"/>
            <w:shd w:val="clear" w:color="auto" w:fill="FFFFFF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Rozporządzenie Komisji (UE) nr 651/2014 z dnia 17 czerwca 2014 r. uznające niektóre rodzaje pomocy za zgodne z rynkiem wewnętrznym w zastosowaniu art. 107 i 108 Traktatu (Dz. Urz. UE L 187 z 26.06.2014, str. 1)</w:t>
            </w:r>
          </w:p>
        </w:tc>
      </w:tr>
      <w:tr w:rsidR="00FB4865" w:rsidTr="00FB4865">
        <w:trPr>
          <w:trHeight w:val="1665"/>
        </w:trPr>
        <w:tc>
          <w:tcPr>
            <w:tcW w:w="248" w:type="pct"/>
            <w:shd w:val="clear" w:color="auto" w:fill="FFFFFF"/>
            <w:hideMark/>
          </w:tcPr>
          <w:p w:rsidR="00FB4865" w:rsidRDefault="00FB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752" w:type="pct"/>
            <w:shd w:val="clear" w:color="auto" w:fill="FFFFFF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 str. 320, z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późn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. zm.)</w:t>
            </w:r>
          </w:p>
        </w:tc>
      </w:tr>
      <w:tr w:rsidR="00FB4865" w:rsidTr="00FB4865">
        <w:trPr>
          <w:trHeight w:val="1260"/>
        </w:trPr>
        <w:tc>
          <w:tcPr>
            <w:tcW w:w="248" w:type="pct"/>
            <w:shd w:val="clear" w:color="auto" w:fill="FFFFFF"/>
            <w:hideMark/>
          </w:tcPr>
          <w:p w:rsidR="00FB4865" w:rsidRDefault="00FB48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752" w:type="pct"/>
            <w:shd w:val="clear" w:color="auto" w:fill="FFFFFF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Rozporządzenie (WE) nr 178/2002 Parlamentu Europejskiego i Rady z dnia 28 stycznia 2002 r. ustanawiającego ogólne zasady i wymagania prawa żywnościowego, powołującego Europejski Urząd ds. Bezpieczeństwa Żywności oraz ustanawiającego procedury w zakresie bezpieczeństwa żywności (Dz. Urz. WE L 31 z 01.02.2002, str. 1, z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późn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. zm.; Dz. Urz. UE Polskie wydanie  specjalne, rozdz. 15, t. 6, str. 463, z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późn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. zm.)</w:t>
            </w:r>
          </w:p>
        </w:tc>
      </w:tr>
    </w:tbl>
    <w:p w:rsidR="00BA5F18" w:rsidRDefault="00BA5F18"/>
    <w:sectPr w:rsidR="00BA5F18" w:rsidSect="00BA5F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8A5" w:rsidRDefault="00F148A5" w:rsidP="005660E8">
      <w:pPr>
        <w:spacing w:after="0" w:line="240" w:lineRule="auto"/>
      </w:pPr>
      <w:r>
        <w:separator/>
      </w:r>
    </w:p>
  </w:endnote>
  <w:endnote w:type="continuationSeparator" w:id="0">
    <w:p w:rsidR="00F148A5" w:rsidRDefault="00F148A5" w:rsidP="00566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77A" w:rsidRDefault="00DE077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77A" w:rsidRDefault="00DE077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77A" w:rsidRDefault="00DE07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8A5" w:rsidRDefault="00F148A5" w:rsidP="005660E8">
      <w:pPr>
        <w:spacing w:after="0" w:line="240" w:lineRule="auto"/>
      </w:pPr>
      <w:r>
        <w:separator/>
      </w:r>
    </w:p>
  </w:footnote>
  <w:footnote w:type="continuationSeparator" w:id="0">
    <w:p w:rsidR="00F148A5" w:rsidRDefault="00F148A5" w:rsidP="00566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77A" w:rsidRDefault="00DE077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0E8" w:rsidRPr="005660E8" w:rsidRDefault="001616A2" w:rsidP="005660E8">
    <w:pPr>
      <w:pStyle w:val="Nagwek"/>
      <w:jc w:val="right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Załącznik</w:t>
    </w:r>
    <w:r w:rsidR="00DE077A">
      <w:rPr>
        <w:rFonts w:ascii="Times New Roman" w:hAnsi="Times New Roman" w:cs="Times New Roman"/>
        <w:b/>
        <w:sz w:val="16"/>
        <w:szCs w:val="16"/>
      </w:rPr>
      <w:t xml:space="preserve"> nr </w:t>
    </w:r>
    <w:r w:rsidR="00DE077A">
      <w:rPr>
        <w:rFonts w:ascii="Times New Roman" w:hAnsi="Times New Roman" w:cs="Times New Roman"/>
        <w:b/>
        <w:sz w:val="16"/>
        <w:szCs w:val="16"/>
      </w:rPr>
      <w:t>14</w:t>
    </w:r>
    <w:bookmarkStart w:id="0" w:name="_GoBack"/>
    <w:bookmarkEnd w:id="0"/>
    <w:r w:rsidR="005660E8" w:rsidRPr="005660E8">
      <w:rPr>
        <w:rFonts w:ascii="Times New Roman" w:hAnsi="Times New Roman" w:cs="Times New Roman"/>
        <w:b/>
        <w:sz w:val="16"/>
        <w:szCs w:val="16"/>
      </w:rPr>
      <w:t xml:space="preserve"> wzór karty  zgodności  z PO RIM </w:t>
    </w:r>
  </w:p>
  <w:p w:rsidR="005660E8" w:rsidRPr="005660E8" w:rsidRDefault="005660E8" w:rsidP="005660E8">
    <w:pPr>
      <w:pStyle w:val="Nagwek"/>
      <w:jc w:val="right"/>
      <w:rPr>
        <w:rFonts w:ascii="Times New Roman" w:hAnsi="Times New Roman" w:cs="Times New Roman"/>
        <w:b/>
        <w:sz w:val="16"/>
        <w:szCs w:val="16"/>
      </w:rPr>
    </w:pPr>
    <w:r w:rsidRPr="005660E8">
      <w:rPr>
        <w:rFonts w:ascii="Times New Roman" w:hAnsi="Times New Roman" w:cs="Times New Roman"/>
        <w:b/>
        <w:sz w:val="16"/>
        <w:szCs w:val="16"/>
      </w:rPr>
      <w:t xml:space="preserve">do procedury  przeprowadzania naborów wniosków i wyboru operacji przez Stowarzyszenie „Partnerstwo dla Doliny Baryczy”, </w:t>
    </w:r>
  </w:p>
  <w:p w:rsidR="005660E8" w:rsidRDefault="005660E8" w:rsidP="005660E8">
    <w:pPr>
      <w:pStyle w:val="Nagwek"/>
      <w:jc w:val="right"/>
      <w:rPr>
        <w:rFonts w:ascii="Times New Roman" w:hAnsi="Times New Roman" w:cs="Times New Roman"/>
        <w:b/>
        <w:sz w:val="16"/>
        <w:szCs w:val="16"/>
      </w:rPr>
    </w:pPr>
    <w:r w:rsidRPr="005660E8">
      <w:rPr>
        <w:rFonts w:ascii="Times New Roman" w:hAnsi="Times New Roman" w:cs="Times New Roman"/>
        <w:b/>
        <w:sz w:val="16"/>
        <w:szCs w:val="16"/>
      </w:rPr>
      <w:t>z wyłączeniem realizacji projektów grantowych oraz operacji własnych</w:t>
    </w:r>
  </w:p>
  <w:p w:rsidR="005660E8" w:rsidRPr="005660E8" w:rsidRDefault="005660E8" w:rsidP="005660E8">
    <w:pPr>
      <w:pStyle w:val="Nagwek"/>
      <w:jc w:val="right"/>
      <w:rPr>
        <w:rFonts w:ascii="Times New Roman" w:hAnsi="Times New Roman" w:cs="Times New Roman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77A" w:rsidRDefault="00DE07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E5A41"/>
    <w:multiLevelType w:val="hybridMultilevel"/>
    <w:tmpl w:val="C3BC80AE"/>
    <w:lvl w:ilvl="0" w:tplc="50703D4C">
      <w:start w:val="4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865"/>
    <w:rsid w:val="001616A2"/>
    <w:rsid w:val="005660E8"/>
    <w:rsid w:val="00722CF5"/>
    <w:rsid w:val="00814E9D"/>
    <w:rsid w:val="00853EEB"/>
    <w:rsid w:val="00973742"/>
    <w:rsid w:val="00A20BCE"/>
    <w:rsid w:val="00BA5F18"/>
    <w:rsid w:val="00CC3F61"/>
    <w:rsid w:val="00DE077A"/>
    <w:rsid w:val="00E73274"/>
    <w:rsid w:val="00F148A5"/>
    <w:rsid w:val="00FB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862" w:right="709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865"/>
    <w:pPr>
      <w:suppressAutoHyphens/>
      <w:ind w:left="0" w:right="0" w:firstLine="0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semiHidden/>
    <w:unhideWhenUsed/>
    <w:rsid w:val="00FB48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uiPriority w:val="99"/>
    <w:semiHidden/>
    <w:rsid w:val="00FB4865"/>
    <w:rPr>
      <w:rFonts w:ascii="Calibri" w:eastAsia="Calibri" w:hAnsi="Calibri" w:cs="Calibri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FB4865"/>
    <w:rPr>
      <w:rFonts w:ascii="Calibri" w:eastAsia="Calibri" w:hAnsi="Calibri" w:cs="Calibri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FB4865"/>
    <w:pPr>
      <w:ind w:left="720"/>
      <w:contextualSpacing/>
    </w:pPr>
  </w:style>
  <w:style w:type="paragraph" w:customStyle="1" w:styleId="Zawartotabeli">
    <w:name w:val="Zawartość tabeli"/>
    <w:basedOn w:val="Normalny"/>
    <w:rsid w:val="00FB4865"/>
    <w:pPr>
      <w:suppressLineNumbers/>
    </w:pPr>
  </w:style>
  <w:style w:type="character" w:customStyle="1" w:styleId="TekstpodstawowyZnak1">
    <w:name w:val="Tekst podstawowy Znak1"/>
    <w:basedOn w:val="Domylnaczcionkaakapitu"/>
    <w:link w:val="Tekstpodstawowy"/>
    <w:semiHidden/>
    <w:locked/>
    <w:rsid w:val="00FB4865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66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60E8"/>
    <w:rPr>
      <w:rFonts w:ascii="Calibri" w:eastAsia="Calibri" w:hAnsi="Calibri" w:cs="Calibri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66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60E8"/>
    <w:rPr>
      <w:rFonts w:ascii="Calibri" w:eastAsia="Calibri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862" w:right="709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865"/>
    <w:pPr>
      <w:suppressAutoHyphens/>
      <w:ind w:left="0" w:right="0" w:firstLine="0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semiHidden/>
    <w:unhideWhenUsed/>
    <w:rsid w:val="00FB48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uiPriority w:val="99"/>
    <w:semiHidden/>
    <w:rsid w:val="00FB4865"/>
    <w:rPr>
      <w:rFonts w:ascii="Calibri" w:eastAsia="Calibri" w:hAnsi="Calibri" w:cs="Calibri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FB4865"/>
    <w:rPr>
      <w:rFonts w:ascii="Calibri" w:eastAsia="Calibri" w:hAnsi="Calibri" w:cs="Calibri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FB4865"/>
    <w:pPr>
      <w:ind w:left="720"/>
      <w:contextualSpacing/>
    </w:pPr>
  </w:style>
  <w:style w:type="paragraph" w:customStyle="1" w:styleId="Zawartotabeli">
    <w:name w:val="Zawartość tabeli"/>
    <w:basedOn w:val="Normalny"/>
    <w:rsid w:val="00FB4865"/>
    <w:pPr>
      <w:suppressLineNumbers/>
    </w:pPr>
  </w:style>
  <w:style w:type="character" w:customStyle="1" w:styleId="TekstpodstawowyZnak1">
    <w:name w:val="Tekst podstawowy Znak1"/>
    <w:basedOn w:val="Domylnaczcionkaakapitu"/>
    <w:link w:val="Tekstpodstawowy"/>
    <w:semiHidden/>
    <w:locked/>
    <w:rsid w:val="00FB4865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66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60E8"/>
    <w:rPr>
      <w:rFonts w:ascii="Calibri" w:eastAsia="Calibri" w:hAnsi="Calibri" w:cs="Calibri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66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60E8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1554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esnażyk</cp:lastModifiedBy>
  <cp:revision>4</cp:revision>
  <cp:lastPrinted>2018-03-06T12:58:00Z</cp:lastPrinted>
  <dcterms:created xsi:type="dcterms:W3CDTF">2018-03-06T13:03:00Z</dcterms:created>
  <dcterms:modified xsi:type="dcterms:W3CDTF">2018-12-17T09:06:00Z</dcterms:modified>
</cp:coreProperties>
</file>